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lang w:val="en-US" w:eastAsia="zh-CN"/>
        </w:rPr>
      </w:pPr>
      <w:r>
        <w:rPr>
          <w:rFonts w:hint="eastAsia"/>
          <w:b/>
          <w:bCs/>
          <w:sz w:val="30"/>
          <w:szCs w:val="30"/>
          <w:lang w:val="en-US" w:eastAsia="zh-CN"/>
        </w:rPr>
        <w:t>海南热带海洋学院人文社科大楼室外海绵城市改造项目</w:t>
      </w:r>
    </w:p>
    <w:p>
      <w:pPr>
        <w:jc w:val="center"/>
        <w:rPr>
          <w:rFonts w:hint="eastAsia" w:ascii="宋体" w:hAnsi="宋体"/>
          <w:sz w:val="24"/>
          <w:lang w:eastAsia="zh-CN"/>
        </w:rPr>
      </w:pPr>
      <w:r>
        <w:rPr>
          <w:rFonts w:hint="eastAsia" w:asciiTheme="majorEastAsia" w:hAnsiTheme="majorEastAsia" w:eastAsiaTheme="majorEastAsia" w:cstheme="majorEastAsia"/>
          <w:b/>
          <w:bCs/>
          <w:sz w:val="30"/>
          <w:szCs w:val="30"/>
          <w:lang w:val="en-US" w:eastAsia="zh-CN"/>
        </w:rPr>
        <w:t>工程量清单</w:t>
      </w:r>
      <w:r>
        <w:rPr>
          <w:rFonts w:hint="eastAsia" w:asciiTheme="majorEastAsia" w:hAnsiTheme="majorEastAsia" w:eastAsiaTheme="majorEastAsia" w:cstheme="majorEastAsia"/>
          <w:b/>
          <w:bCs/>
          <w:sz w:val="30"/>
          <w:szCs w:val="30"/>
        </w:rPr>
        <w:t>编制说明</w:t>
      </w:r>
    </w:p>
    <w:p>
      <w:pPr>
        <w:widowControl/>
        <w:adjustRightIn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一、工程概况</w:t>
      </w:r>
    </w:p>
    <w:p>
      <w:pPr>
        <w:widowControl/>
        <w:adjustRightInd w:val="0"/>
        <w:spacing w:line="360" w:lineRule="auto"/>
        <w:ind w:left="479" w:leftChars="228" w:firstLine="0" w:firstLineChars="0"/>
        <w:rPr>
          <w:rFonts w:hint="eastAsia" w:ascii="宋体" w:hAnsi="宋体"/>
          <w:sz w:val="24"/>
          <w:lang w:val="en-US" w:eastAsia="zh-CN"/>
        </w:rPr>
      </w:pPr>
      <w:r>
        <w:rPr>
          <w:rFonts w:hint="eastAsia" w:ascii="宋体" w:hAnsi="宋体"/>
          <w:sz w:val="24"/>
          <w:lang w:val="en-US" w:eastAsia="zh-CN"/>
        </w:rPr>
        <w:t>1.1工程名称：海南热带海洋学院人文社科大楼室外海绵城市改造项目</w:t>
      </w:r>
      <w:bookmarkStart w:id="0" w:name="_GoBack"/>
      <w:bookmarkEnd w:id="0"/>
    </w:p>
    <w:p>
      <w:pPr>
        <w:widowControl/>
        <w:adjustRightInd w:val="0"/>
        <w:spacing w:line="360" w:lineRule="auto"/>
        <w:ind w:left="479" w:leftChars="228" w:firstLine="0" w:firstLineChars="0"/>
        <w:rPr>
          <w:rFonts w:hint="eastAsia" w:ascii="宋体" w:hAnsi="宋体"/>
          <w:sz w:val="24"/>
          <w:lang w:val="en-US" w:eastAsia="zh-CN"/>
        </w:rPr>
      </w:pPr>
      <w:r>
        <w:rPr>
          <w:rFonts w:hint="eastAsia" w:ascii="宋体" w:hAnsi="宋体"/>
          <w:sz w:val="24"/>
          <w:lang w:val="en-US" w:eastAsia="zh-CN"/>
        </w:rPr>
        <w:t>1.2项目地点：三亚市</w:t>
      </w:r>
    </w:p>
    <w:p>
      <w:pPr>
        <w:keepNext w:val="0"/>
        <w:keepLines w:val="0"/>
        <w:pageBreakBefore w:val="0"/>
        <w:numPr>
          <w:ilvl w:val="0"/>
          <w:numId w:val="0"/>
        </w:numPr>
        <w:kinsoku/>
        <w:wordWrap/>
        <w:overflowPunct/>
        <w:topLinePunct w:val="0"/>
        <w:autoSpaceDE/>
        <w:autoSpaceDN/>
        <w:bidi w:val="0"/>
        <w:adjustRightInd/>
        <w:spacing w:line="500" w:lineRule="exact"/>
        <w:ind w:firstLine="480" w:firstLineChars="200"/>
        <w:textAlignment w:val="auto"/>
        <w:outlineLvl w:val="9"/>
        <w:rPr>
          <w:rFonts w:hint="eastAsia" w:ascii="宋体" w:hAnsi="宋体" w:cs="宋体"/>
          <w:sz w:val="24"/>
        </w:rPr>
      </w:pPr>
      <w:r>
        <w:rPr>
          <w:rFonts w:hint="eastAsia" w:ascii="宋体" w:hAnsi="宋体" w:cs="宋体"/>
          <w:sz w:val="24"/>
          <w:lang w:val="en-US" w:eastAsia="zh-CN"/>
        </w:rPr>
        <w:t>1.3</w:t>
      </w:r>
      <w:r>
        <w:rPr>
          <w:rFonts w:hint="eastAsia" w:ascii="宋体" w:hAnsi="宋体" w:cs="宋体"/>
          <w:sz w:val="24"/>
        </w:rPr>
        <w:t>委托单位</w:t>
      </w:r>
      <w:r>
        <w:rPr>
          <w:rFonts w:hint="eastAsia" w:ascii="宋体" w:hAnsi="宋体" w:cs="宋体"/>
          <w:sz w:val="24"/>
          <w:lang w:val="en-US" w:eastAsia="zh-CN"/>
        </w:rPr>
        <w:t>:</w:t>
      </w:r>
      <w:r>
        <w:rPr>
          <w:rFonts w:hint="eastAsia" w:ascii="宋体" w:hAnsi="宋体" w:cs="宋体"/>
          <w:sz w:val="24"/>
        </w:rPr>
        <w:t>海南热带海洋学院</w:t>
      </w:r>
    </w:p>
    <w:p>
      <w:pPr>
        <w:keepNext w:val="0"/>
        <w:keepLines w:val="0"/>
        <w:pageBreakBefore w:val="0"/>
        <w:numPr>
          <w:ilvl w:val="0"/>
          <w:numId w:val="0"/>
        </w:numPr>
        <w:kinsoku/>
        <w:wordWrap/>
        <w:overflowPunct/>
        <w:topLinePunct w:val="0"/>
        <w:autoSpaceDE/>
        <w:autoSpaceDN/>
        <w:bidi w:val="0"/>
        <w:adjustRightInd/>
        <w:spacing w:line="500" w:lineRule="exact"/>
        <w:ind w:firstLine="480" w:firstLineChars="200"/>
        <w:textAlignment w:val="auto"/>
        <w:outlineLvl w:val="9"/>
        <w:rPr>
          <w:rFonts w:hint="eastAsia" w:ascii="宋体" w:hAnsi="宋体" w:cs="宋体"/>
          <w:sz w:val="24"/>
          <w:lang w:val="en-US" w:eastAsia="zh-CN"/>
        </w:rPr>
      </w:pPr>
      <w:r>
        <w:rPr>
          <w:rFonts w:hint="eastAsia" w:ascii="宋体" w:hAnsi="宋体" w:cs="宋体"/>
          <w:sz w:val="24"/>
          <w:lang w:val="en-US" w:eastAsia="zh-CN"/>
        </w:rPr>
        <w:t>1.4</w:t>
      </w:r>
      <w:r>
        <w:rPr>
          <w:rFonts w:hint="eastAsia" w:ascii="宋体" w:hAnsi="宋体" w:cs="宋体"/>
          <w:sz w:val="24"/>
        </w:rPr>
        <w:t>建设单位</w:t>
      </w:r>
      <w:r>
        <w:rPr>
          <w:rFonts w:hint="eastAsia" w:ascii="宋体" w:hAnsi="宋体" w:cs="宋体"/>
          <w:sz w:val="24"/>
          <w:lang w:val="en-US" w:eastAsia="zh-CN"/>
        </w:rPr>
        <w:t>:</w:t>
      </w:r>
      <w:r>
        <w:rPr>
          <w:rFonts w:hint="eastAsia" w:ascii="宋体" w:hAnsi="宋体" w:cs="宋体"/>
          <w:sz w:val="24"/>
        </w:rPr>
        <w:t>海南热带海洋学院</w:t>
      </w:r>
    </w:p>
    <w:p>
      <w:pPr>
        <w:widowControl/>
        <w:adjustRightIn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二、编制范围</w:t>
      </w:r>
    </w:p>
    <w:p>
      <w:pPr>
        <w:widowControl/>
        <w:adjustRightIn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海南热带海洋学院人文社科大楼室外配套项目。</w:t>
      </w:r>
    </w:p>
    <w:p>
      <w:pPr>
        <w:widowControl/>
        <w:adjustRightIn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 xml:space="preserve">三、编制依据 </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海南省住房和城乡建设厅颁布的《建设工程工程量清单计价规范》（2013）；</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海南省住房和城乡建设厅颁布的《海南省房屋建筑与装饰工程综合定额》（2017）；</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海南省住房和城乡建设厅颁布的《海南省园林绿化工程综合定额》(2019)；</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海南省住房和城乡建设厅颁布的《海南省装饰装修工程综合定额》(2021)；</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海南省住房和城乡建设厅颁布的《海南省市政工程综合定额》（2017）；</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海南省住房和城乡建设厅颁布的《海南省安装工程综合定额》（2017）；</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建设标准定额站发布的琼建规〔2022〕3号《海南省住房和城乡建设厅关于调整建筑工人人工单价的通知》，执行2017年以后发布的我省建筑、安装、市政、园林绿化、装配式、综合管廊、绿色建筑和施工机械台班费用单价等综合定额的工程项目，其定额人工单价调至145.00元/工日；仍在执行2017年之前发布定额的工程项目，各专业工程定额人工单价可参考本次调整幅度进行调整；</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海南省住房和城乡建设厅文件琼建定[2018]48号《海南省建设厅关于贯彻建设部‹建筑工程安全防护、文明施工措施费用及使用管理规定›的实施意见》；</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税率按《关于建筑业营业税改征增值税调整海南省建设工程计价依据的实施意见》（琼建定[2019]100号）的有关规定9%计算考虑；</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材料价差按《海南工程造价信息》2024年第3期三亚市地区信息价计取，缺项部分按市场价进行调价差；</w:t>
      </w:r>
    </w:p>
    <w:p>
      <w:pPr>
        <w:widowControl/>
        <w:numPr>
          <w:ilvl w:val="1"/>
          <w:numId w:val="1"/>
        </w:numPr>
        <w:adjustRightInd w:val="0"/>
        <w:spacing w:line="360" w:lineRule="auto"/>
        <w:ind w:left="-61" w:leftChars="0" w:firstLine="481" w:firstLineChars="0"/>
        <w:rPr>
          <w:rFonts w:hint="eastAsia" w:ascii="宋体" w:hAnsi="宋体"/>
          <w:sz w:val="24"/>
          <w:lang w:val="en-US" w:eastAsia="zh-CN"/>
        </w:rPr>
      </w:pPr>
      <w:r>
        <w:rPr>
          <w:rFonts w:hint="eastAsia" w:ascii="宋体" w:hAnsi="宋体"/>
          <w:sz w:val="24"/>
          <w:lang w:val="en-US" w:eastAsia="zh-CN"/>
        </w:rPr>
        <w:t>国家及海南地区相关规范、标准文件。</w:t>
      </w:r>
    </w:p>
    <w:p>
      <w:pPr>
        <w:keepNext w:val="0"/>
        <w:keepLines w:val="0"/>
        <w:pageBreakBefore w:val="0"/>
        <w:widowControl/>
        <w:kinsoku/>
        <w:wordWrap/>
        <w:overflowPunct/>
        <w:topLinePunct w:val="0"/>
        <w:autoSpaceDE/>
        <w:autoSpaceDN/>
        <w:bidi w:val="0"/>
        <w:adjustRightInd w:val="0"/>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四、投标报价说明</w:t>
      </w:r>
    </w:p>
    <w:p>
      <w:pPr>
        <w:keepNext w:val="0"/>
        <w:keepLines w:val="0"/>
        <w:pageBreakBefore w:val="0"/>
        <w:widowControl/>
        <w:kinsoku/>
        <w:wordWrap/>
        <w:overflowPunct/>
        <w:topLinePunct w:val="0"/>
        <w:autoSpaceDE/>
        <w:autoSpaceDN/>
        <w:bidi w:val="0"/>
        <w:adjustRightInd w:val="0"/>
        <w:snapToGrid/>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4.1.工程量清单中的每一子目须填入单价或价格，且只允许有一个报价。工程量清单中投标人没有填入单价或价格的子目，其费用视为已分摊在工程量清单中其他相关子目的单价或价格之中；</w:t>
      </w:r>
    </w:p>
    <w:p>
      <w:pPr>
        <w:keepNext w:val="0"/>
        <w:keepLines w:val="0"/>
        <w:pageBreakBefore w:val="0"/>
        <w:widowControl/>
        <w:kinsoku/>
        <w:wordWrap/>
        <w:overflowPunct/>
        <w:topLinePunct w:val="0"/>
        <w:autoSpaceDE/>
        <w:autoSpaceDN/>
        <w:bidi w:val="0"/>
        <w:adjustRightInd w:val="0"/>
        <w:snapToGrid/>
        <w:spacing w:line="360" w:lineRule="auto"/>
        <w:ind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宋体" w:hAnsi="宋体"/>
          <w:sz w:val="24"/>
          <w:lang w:val="en-US" w:eastAsia="zh-CN"/>
        </w:rPr>
        <w:t>4.2工程量清单中标价的单价或金额，应包括所需人工费、施工机械使用费、材料费、其他（运杂费、质检费、安装费、缺陷修复费、保险费、材料的货到检测试验费，以及合同明示或暗示的风险、责任和义务等），以及增值税等相关税费、废弃物倾倒费、安全措施专项费、管理</w:t>
      </w:r>
      <w:r>
        <w:rPr>
          <w:rFonts w:hint="eastAsia" w:asciiTheme="minorEastAsia" w:hAnsiTheme="minorEastAsia" w:eastAsiaTheme="minorEastAsia" w:cstheme="minorEastAsia"/>
          <w:kern w:val="0"/>
          <w:sz w:val="24"/>
          <w:szCs w:val="24"/>
        </w:rPr>
        <w:t>费、利润等费用</w:t>
      </w:r>
      <w:r>
        <w:rPr>
          <w:rFonts w:hint="eastAsia" w:asciiTheme="minorEastAsia" w:hAnsiTheme="minorEastAsia" w:cstheme="minorEastAsia"/>
          <w:kern w:val="0"/>
          <w:sz w:val="24"/>
          <w:szCs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val="en-US" w:eastAsia="zh-CN"/>
        </w:rPr>
        <w:t>4.3</w:t>
      </w:r>
      <w:r>
        <w:rPr>
          <w:rFonts w:hint="eastAsia" w:asciiTheme="minorEastAsia" w:hAnsiTheme="minorEastAsia" w:eastAsiaTheme="minorEastAsia" w:cstheme="minorEastAsia"/>
          <w:kern w:val="0"/>
          <w:sz w:val="24"/>
          <w:szCs w:val="24"/>
        </w:rPr>
        <w:t>本工程投标报价应当按照企业定额或参照行业定额、取费标准、人工预算单价和施工机械台班预算单价以及材料市场价格信息（除业主已公布的材料预算单价外）由投标人自主确定</w:t>
      </w:r>
      <w:r>
        <w:rPr>
          <w:rFonts w:hint="eastAsia" w:asciiTheme="minorEastAsia" w:hAnsiTheme="minorEastAsia" w:cstheme="minorEastAsia"/>
          <w:kern w:val="0"/>
          <w:sz w:val="24"/>
          <w:szCs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val="en-US" w:eastAsia="zh-CN"/>
        </w:rPr>
        <w:t>4.4</w:t>
      </w:r>
      <w:r>
        <w:rPr>
          <w:rFonts w:hint="eastAsia" w:asciiTheme="minorEastAsia" w:hAnsiTheme="minorEastAsia" w:eastAsiaTheme="minorEastAsia" w:cstheme="minorEastAsia"/>
          <w:kern w:val="0"/>
          <w:sz w:val="24"/>
          <w:szCs w:val="24"/>
        </w:rPr>
        <w:t>工程量清单中所列工程量的变动，丝毫不会降低或影响合同条件的效力，也不免除承包人按规定的标准进行施工和修复缺陷的责任</w:t>
      </w:r>
      <w:r>
        <w:rPr>
          <w:rFonts w:hint="eastAsia" w:asciiTheme="minorEastAsia" w:hAnsiTheme="minorEastAsia" w:cstheme="minorEastAsia"/>
          <w:kern w:val="0"/>
          <w:sz w:val="24"/>
          <w:szCs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Theme="minorEastAsia" w:hAnsi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4.5清单中没有列项而在施工中必须发生的项目，投标人应综合在其他项目综合单价中考虑。</w:t>
      </w:r>
    </w:p>
    <w:p>
      <w:pPr>
        <w:keepNext w:val="0"/>
        <w:keepLines w:val="0"/>
        <w:pageBreakBefore w:val="0"/>
        <w:numPr>
          <w:ilvl w:val="0"/>
          <w:numId w:val="2"/>
        </w:numPr>
        <w:tabs>
          <w:tab w:val="left" w:pos="540"/>
        </w:tabs>
        <w:kinsoku/>
        <w:wordWrap/>
        <w:overflowPunct/>
        <w:topLinePunct w:val="0"/>
        <w:autoSpaceDE/>
        <w:autoSpaceDN/>
        <w:bidi w:val="0"/>
        <w:snapToGrid/>
        <w:spacing w:line="360" w:lineRule="auto"/>
        <w:ind w:firstLine="235" w:firstLineChars="98"/>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其他说明</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5.1</w:t>
      </w:r>
      <w:r>
        <w:rPr>
          <w:rFonts w:hint="eastAsia" w:ascii="宋体" w:hAnsi="宋体"/>
          <w:kern w:val="0"/>
          <w:sz w:val="24"/>
        </w:rPr>
        <w:t>工程量清单及其计价格式中所有要求签字、盖章的地方，必须由规定的单位和人员签字、盖章</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5.2</w:t>
      </w:r>
      <w:r>
        <w:rPr>
          <w:rFonts w:hint="eastAsia" w:ascii="宋体" w:hAnsi="宋体"/>
          <w:kern w:val="0"/>
          <w:sz w:val="24"/>
        </w:rPr>
        <w:t>工程量清单及其计价格式中的任何内容不得随意删除或涂改</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5.3</w:t>
      </w:r>
      <w:r>
        <w:rPr>
          <w:rFonts w:hint="eastAsia" w:ascii="宋体" w:hAnsi="宋体"/>
          <w:kern w:val="0"/>
          <w:sz w:val="24"/>
        </w:rPr>
        <w:t>工程量清单中各项金额和总额（价格）均应以人民币表示和结算</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5.4</w:t>
      </w:r>
      <w:r>
        <w:rPr>
          <w:rFonts w:hint="eastAsia" w:ascii="宋体" w:hAnsi="宋体"/>
          <w:kern w:val="0"/>
          <w:sz w:val="24"/>
        </w:rPr>
        <w:t>投标人应将投标价格需要说明的事项，用文字书写与投标报价表一并报送</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5.5</w:t>
      </w:r>
      <w:r>
        <w:rPr>
          <w:rFonts w:hint="eastAsia" w:ascii="宋体" w:hAnsi="宋体"/>
          <w:kern w:val="0"/>
          <w:sz w:val="24"/>
        </w:rPr>
        <w:t>不允许投标人进行不平衡报价、评标中如发现有严重的不平衡报价，可能导致投标人被拒绝。工程实施过程中，如发现不平衡报价情况，业主有权在总价保持不变的情况下，对单价进行调整</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5.6</w:t>
      </w:r>
      <w:r>
        <w:rPr>
          <w:rFonts w:hint="eastAsia" w:ascii="宋体" w:hAnsi="宋体"/>
          <w:kern w:val="0"/>
          <w:sz w:val="24"/>
        </w:rPr>
        <w:t>承包人用于本合同工程的各类装备的提供、运输、维护、拆卸等支付的费用，已包括在工程量清单的单价中与总额价中</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eastAsia="zh-CN"/>
        </w:rPr>
      </w:pPr>
      <w:r>
        <w:rPr>
          <w:rFonts w:hint="eastAsia" w:ascii="宋体" w:hAnsi="宋体"/>
          <w:kern w:val="0"/>
          <w:sz w:val="24"/>
          <w:lang w:val="en-US" w:eastAsia="zh-CN"/>
        </w:rPr>
        <w:t>5.7</w:t>
      </w:r>
      <w:r>
        <w:rPr>
          <w:rFonts w:hint="eastAsia" w:ascii="宋体" w:hAnsi="宋体"/>
          <w:kern w:val="0"/>
          <w:sz w:val="24"/>
        </w:rPr>
        <w:t>工程量清单项目中【项目特征】及【工程内容】的描述须与本说明和规定共同使用。工程量清单项目中的综合单价除包括上述内容外，还应结合招标文件、招标文件所附合同条款、</w:t>
      </w:r>
      <w:r>
        <w:rPr>
          <w:rFonts w:hint="eastAsia" w:ascii="宋体" w:hAnsi="宋体"/>
          <w:kern w:val="0"/>
          <w:sz w:val="24"/>
          <w:lang w:val="en-US" w:eastAsia="zh-CN"/>
        </w:rPr>
        <w:t>方案</w:t>
      </w:r>
      <w:r>
        <w:rPr>
          <w:rFonts w:hint="eastAsia" w:ascii="宋体" w:hAnsi="宋体"/>
          <w:kern w:val="0"/>
          <w:sz w:val="24"/>
        </w:rPr>
        <w:t>等技术文件、有关技术规范及标准、投标现场踏勘、现场实际施工条件等阅读、理解并进行报价</w:t>
      </w:r>
      <w:r>
        <w:rPr>
          <w:rFonts w:hint="eastAsia" w:ascii="宋体" w:hAnsi="宋体"/>
          <w:kern w:val="0"/>
          <w:sz w:val="24"/>
          <w:lang w:eastAsia="zh-CN"/>
        </w:rPr>
        <w:t>；</w:t>
      </w:r>
    </w:p>
    <w:p>
      <w:pPr>
        <w:keepNext w:val="0"/>
        <w:keepLines w:val="0"/>
        <w:pageBreakBefore w:val="0"/>
        <w:widowControl/>
        <w:kinsoku/>
        <w:wordWrap/>
        <w:overflowPunct/>
        <w:topLinePunct w:val="0"/>
        <w:autoSpaceDE/>
        <w:autoSpaceDN/>
        <w:bidi w:val="0"/>
        <w:snapToGrid/>
        <w:spacing w:line="360" w:lineRule="auto"/>
        <w:ind w:firstLine="480" w:firstLineChars="200"/>
        <w:textAlignment w:val="auto"/>
        <w:rPr>
          <w:rFonts w:hint="eastAsia" w:ascii="宋体" w:hAnsi="宋体" w:eastAsiaTheme="minorEastAsia"/>
          <w:kern w:val="0"/>
          <w:sz w:val="24"/>
          <w:lang w:val="en-US" w:eastAsia="zh-CN"/>
        </w:rPr>
      </w:pPr>
      <w:r>
        <w:rPr>
          <w:rFonts w:hint="eastAsia" w:ascii="宋体" w:hAnsi="宋体"/>
          <w:kern w:val="0"/>
          <w:sz w:val="24"/>
          <w:lang w:val="en-US" w:eastAsia="zh-CN"/>
        </w:rPr>
        <w:t>5.8</w:t>
      </w:r>
      <w:r>
        <w:rPr>
          <w:rFonts w:hint="eastAsia" w:ascii="宋体" w:hAnsi="宋体"/>
          <w:kern w:val="0"/>
          <w:sz w:val="24"/>
        </w:rPr>
        <w:t>投标人认为招标文件工程量清单没有开列的项目或认为清单描述有误，投标人应以书面形式提出，经招标人以答疑纪要或澄清文件方式确认后可增列和修正。如果投标人对上述问题在投标环节没有以书面形式提出并经招标人以答疑纪要或澄清文件方式确认则视为已含在投标报价的其它清单项目中</w:t>
      </w:r>
      <w:r>
        <w:rPr>
          <w:rFonts w:hint="eastAsia" w:ascii="宋体" w:hAnsi="宋体"/>
          <w:kern w:val="0"/>
          <w:sz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A0F57"/>
    <w:multiLevelType w:val="multilevel"/>
    <w:tmpl w:val="05DA0F57"/>
    <w:lvl w:ilvl="0" w:tentative="0">
      <w:start w:val="1"/>
      <w:numFmt w:val="decimal"/>
      <w:lvlText w:val="%1."/>
      <w:lvlJc w:val="left"/>
      <w:pPr>
        <w:ind w:left="425" w:hanging="425"/>
      </w:pPr>
      <w:rPr>
        <w:rFonts w:hint="default"/>
      </w:rPr>
    </w:lvl>
    <w:lvl w:ilvl="1" w:tentative="0">
      <w:start w:val="1"/>
      <w:numFmt w:val="decimal"/>
      <w:lvlText w:val="3.%2"/>
      <w:lvlJc w:val="left"/>
      <w:pPr>
        <w:ind w:left="-61" w:leftChars="0" w:firstLine="481" w:firstLineChars="0"/>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59C870FF"/>
    <w:multiLevelType w:val="singleLevel"/>
    <w:tmpl w:val="59C870FF"/>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hOTA3NTI2ZWExMGE4MTg0MzdjYjIxMzE1NGFhMmQifQ=="/>
  </w:docVars>
  <w:rsids>
    <w:rsidRoot w:val="009032B7"/>
    <w:rsid w:val="00002CC2"/>
    <w:rsid w:val="00047144"/>
    <w:rsid w:val="000E0464"/>
    <w:rsid w:val="0017194F"/>
    <w:rsid w:val="001C1287"/>
    <w:rsid w:val="001C60C2"/>
    <w:rsid w:val="00220AA9"/>
    <w:rsid w:val="002A182F"/>
    <w:rsid w:val="002A7B7D"/>
    <w:rsid w:val="002A7BC3"/>
    <w:rsid w:val="002B0A2E"/>
    <w:rsid w:val="002B741A"/>
    <w:rsid w:val="00306C81"/>
    <w:rsid w:val="003F028C"/>
    <w:rsid w:val="0040367E"/>
    <w:rsid w:val="0043397D"/>
    <w:rsid w:val="00442E74"/>
    <w:rsid w:val="00466D2A"/>
    <w:rsid w:val="004739C3"/>
    <w:rsid w:val="00484854"/>
    <w:rsid w:val="00484B32"/>
    <w:rsid w:val="004B2F87"/>
    <w:rsid w:val="004C6F97"/>
    <w:rsid w:val="004F5C00"/>
    <w:rsid w:val="00523E99"/>
    <w:rsid w:val="00567B1A"/>
    <w:rsid w:val="005A435B"/>
    <w:rsid w:val="005B0B3F"/>
    <w:rsid w:val="005D2D20"/>
    <w:rsid w:val="005D67AF"/>
    <w:rsid w:val="00620555"/>
    <w:rsid w:val="006612FC"/>
    <w:rsid w:val="006B5F1F"/>
    <w:rsid w:val="00804306"/>
    <w:rsid w:val="00813FF4"/>
    <w:rsid w:val="00831A2C"/>
    <w:rsid w:val="008372CC"/>
    <w:rsid w:val="00853454"/>
    <w:rsid w:val="008A4753"/>
    <w:rsid w:val="008C1855"/>
    <w:rsid w:val="008D5E63"/>
    <w:rsid w:val="009032B7"/>
    <w:rsid w:val="009061B7"/>
    <w:rsid w:val="00937A63"/>
    <w:rsid w:val="00944E8C"/>
    <w:rsid w:val="009467CE"/>
    <w:rsid w:val="00994DAE"/>
    <w:rsid w:val="00A41D2D"/>
    <w:rsid w:val="00A86F3E"/>
    <w:rsid w:val="00AB6534"/>
    <w:rsid w:val="00AE6415"/>
    <w:rsid w:val="00B02AB6"/>
    <w:rsid w:val="00B06A34"/>
    <w:rsid w:val="00B8445B"/>
    <w:rsid w:val="00B95F83"/>
    <w:rsid w:val="00BA5767"/>
    <w:rsid w:val="00BA65D9"/>
    <w:rsid w:val="00C718E2"/>
    <w:rsid w:val="00C9091F"/>
    <w:rsid w:val="00C979F9"/>
    <w:rsid w:val="00CA08FF"/>
    <w:rsid w:val="00D25382"/>
    <w:rsid w:val="00D87BEA"/>
    <w:rsid w:val="00DB2935"/>
    <w:rsid w:val="00DD4F1D"/>
    <w:rsid w:val="00E3074D"/>
    <w:rsid w:val="00E42A58"/>
    <w:rsid w:val="00E536F3"/>
    <w:rsid w:val="00E70E12"/>
    <w:rsid w:val="00E77F59"/>
    <w:rsid w:val="00F06783"/>
    <w:rsid w:val="00F06F22"/>
    <w:rsid w:val="00F126F1"/>
    <w:rsid w:val="00F51103"/>
    <w:rsid w:val="00F66D76"/>
    <w:rsid w:val="00FA363B"/>
    <w:rsid w:val="00FE087F"/>
    <w:rsid w:val="016B3721"/>
    <w:rsid w:val="01780145"/>
    <w:rsid w:val="01887156"/>
    <w:rsid w:val="01952B14"/>
    <w:rsid w:val="028332BE"/>
    <w:rsid w:val="02BC7DCF"/>
    <w:rsid w:val="02EA5D62"/>
    <w:rsid w:val="03543040"/>
    <w:rsid w:val="05332652"/>
    <w:rsid w:val="06624A22"/>
    <w:rsid w:val="06A116F6"/>
    <w:rsid w:val="06D30BA0"/>
    <w:rsid w:val="07500D0B"/>
    <w:rsid w:val="0790745A"/>
    <w:rsid w:val="08234384"/>
    <w:rsid w:val="09313463"/>
    <w:rsid w:val="0A034EFB"/>
    <w:rsid w:val="0A1F130B"/>
    <w:rsid w:val="0A40449A"/>
    <w:rsid w:val="0A6D7B38"/>
    <w:rsid w:val="0B6D2D28"/>
    <w:rsid w:val="0BDE2C4E"/>
    <w:rsid w:val="0BE550B0"/>
    <w:rsid w:val="0BFA124E"/>
    <w:rsid w:val="0C6B7803"/>
    <w:rsid w:val="0CF854EC"/>
    <w:rsid w:val="0D400250"/>
    <w:rsid w:val="0D611694"/>
    <w:rsid w:val="0D94112A"/>
    <w:rsid w:val="0DC413BF"/>
    <w:rsid w:val="0EE120D4"/>
    <w:rsid w:val="0F797765"/>
    <w:rsid w:val="0FA04BF9"/>
    <w:rsid w:val="0FF128CA"/>
    <w:rsid w:val="101301D5"/>
    <w:rsid w:val="10595E11"/>
    <w:rsid w:val="10A04E3C"/>
    <w:rsid w:val="10DF5E02"/>
    <w:rsid w:val="11725697"/>
    <w:rsid w:val="11E97093"/>
    <w:rsid w:val="121F3CF3"/>
    <w:rsid w:val="123B098C"/>
    <w:rsid w:val="1343741A"/>
    <w:rsid w:val="15AF1DCD"/>
    <w:rsid w:val="167D2D81"/>
    <w:rsid w:val="18934C0E"/>
    <w:rsid w:val="18D65D45"/>
    <w:rsid w:val="1918542F"/>
    <w:rsid w:val="191E160A"/>
    <w:rsid w:val="1A934F94"/>
    <w:rsid w:val="1AF01DB9"/>
    <w:rsid w:val="1B5776EB"/>
    <w:rsid w:val="1BA33653"/>
    <w:rsid w:val="1DB857B3"/>
    <w:rsid w:val="1DF45520"/>
    <w:rsid w:val="1E6456E4"/>
    <w:rsid w:val="1E95694A"/>
    <w:rsid w:val="1E967B39"/>
    <w:rsid w:val="1FBA6F24"/>
    <w:rsid w:val="1FE41DE2"/>
    <w:rsid w:val="205A7150"/>
    <w:rsid w:val="20AE0549"/>
    <w:rsid w:val="20BA532F"/>
    <w:rsid w:val="215E6A29"/>
    <w:rsid w:val="2190439D"/>
    <w:rsid w:val="22627ADD"/>
    <w:rsid w:val="229C11D3"/>
    <w:rsid w:val="232762E9"/>
    <w:rsid w:val="238E2968"/>
    <w:rsid w:val="23BC70FA"/>
    <w:rsid w:val="25173249"/>
    <w:rsid w:val="25300ACC"/>
    <w:rsid w:val="256C123B"/>
    <w:rsid w:val="257338BA"/>
    <w:rsid w:val="25FF65B8"/>
    <w:rsid w:val="26000B27"/>
    <w:rsid w:val="260675D3"/>
    <w:rsid w:val="263965B1"/>
    <w:rsid w:val="26AB62E7"/>
    <w:rsid w:val="26D4075F"/>
    <w:rsid w:val="26D83D67"/>
    <w:rsid w:val="27F24165"/>
    <w:rsid w:val="28324617"/>
    <w:rsid w:val="28802766"/>
    <w:rsid w:val="28954244"/>
    <w:rsid w:val="292A756F"/>
    <w:rsid w:val="29404132"/>
    <w:rsid w:val="296329D6"/>
    <w:rsid w:val="29846EB0"/>
    <w:rsid w:val="29D71889"/>
    <w:rsid w:val="2A045017"/>
    <w:rsid w:val="2A5E4459"/>
    <w:rsid w:val="2B4F7FC6"/>
    <w:rsid w:val="2B521566"/>
    <w:rsid w:val="2C5E1A43"/>
    <w:rsid w:val="2C700D9E"/>
    <w:rsid w:val="2CA70749"/>
    <w:rsid w:val="2E8C5F2F"/>
    <w:rsid w:val="2F3647C5"/>
    <w:rsid w:val="2F8D1F5F"/>
    <w:rsid w:val="2FC34525"/>
    <w:rsid w:val="2FE041C7"/>
    <w:rsid w:val="2FE322E2"/>
    <w:rsid w:val="300409FC"/>
    <w:rsid w:val="30367DA4"/>
    <w:rsid w:val="30DD5633"/>
    <w:rsid w:val="311251E1"/>
    <w:rsid w:val="316A47AA"/>
    <w:rsid w:val="31F31F3B"/>
    <w:rsid w:val="322E50A9"/>
    <w:rsid w:val="32A4312E"/>
    <w:rsid w:val="330C657A"/>
    <w:rsid w:val="33370DC9"/>
    <w:rsid w:val="33B711CB"/>
    <w:rsid w:val="33EA6489"/>
    <w:rsid w:val="351030D1"/>
    <w:rsid w:val="359F301D"/>
    <w:rsid w:val="35C808EB"/>
    <w:rsid w:val="360A76AC"/>
    <w:rsid w:val="361B11CF"/>
    <w:rsid w:val="36B01EB4"/>
    <w:rsid w:val="374C41A5"/>
    <w:rsid w:val="37577783"/>
    <w:rsid w:val="385C4BC4"/>
    <w:rsid w:val="38AE1BA0"/>
    <w:rsid w:val="391471EA"/>
    <w:rsid w:val="39D83ACD"/>
    <w:rsid w:val="3A8C67AC"/>
    <w:rsid w:val="3B021BE2"/>
    <w:rsid w:val="3B0818BC"/>
    <w:rsid w:val="3B1636E5"/>
    <w:rsid w:val="3B181C7C"/>
    <w:rsid w:val="3B69784D"/>
    <w:rsid w:val="3BCB7596"/>
    <w:rsid w:val="3BE125AB"/>
    <w:rsid w:val="3D03256F"/>
    <w:rsid w:val="3E483716"/>
    <w:rsid w:val="3E9B0D19"/>
    <w:rsid w:val="3EEB33CE"/>
    <w:rsid w:val="3EFC43DF"/>
    <w:rsid w:val="3F4C7AD8"/>
    <w:rsid w:val="3FC67628"/>
    <w:rsid w:val="404B6BE7"/>
    <w:rsid w:val="408871DD"/>
    <w:rsid w:val="40E7784A"/>
    <w:rsid w:val="41F1567C"/>
    <w:rsid w:val="42372ADA"/>
    <w:rsid w:val="426A615E"/>
    <w:rsid w:val="428B30C0"/>
    <w:rsid w:val="430B3425"/>
    <w:rsid w:val="43437E40"/>
    <w:rsid w:val="43461CD7"/>
    <w:rsid w:val="4367430D"/>
    <w:rsid w:val="43F31250"/>
    <w:rsid w:val="43F35D65"/>
    <w:rsid w:val="444A4A3B"/>
    <w:rsid w:val="44585C17"/>
    <w:rsid w:val="45131F56"/>
    <w:rsid w:val="45617517"/>
    <w:rsid w:val="463D2E5B"/>
    <w:rsid w:val="464F7091"/>
    <w:rsid w:val="46AF62AD"/>
    <w:rsid w:val="478B091F"/>
    <w:rsid w:val="48171ED6"/>
    <w:rsid w:val="48221A2F"/>
    <w:rsid w:val="485C0CB1"/>
    <w:rsid w:val="48753316"/>
    <w:rsid w:val="49555322"/>
    <w:rsid w:val="496C5B5C"/>
    <w:rsid w:val="49BF37AB"/>
    <w:rsid w:val="49D139D9"/>
    <w:rsid w:val="49F305DB"/>
    <w:rsid w:val="4AA17F7D"/>
    <w:rsid w:val="4AD9467E"/>
    <w:rsid w:val="4B5E27A5"/>
    <w:rsid w:val="4B9127E9"/>
    <w:rsid w:val="4BCE5424"/>
    <w:rsid w:val="4C3E53FA"/>
    <w:rsid w:val="4C745DC8"/>
    <w:rsid w:val="4C8E46FC"/>
    <w:rsid w:val="4C945F19"/>
    <w:rsid w:val="4CB33556"/>
    <w:rsid w:val="4D237B29"/>
    <w:rsid w:val="4DC36490"/>
    <w:rsid w:val="51256E03"/>
    <w:rsid w:val="515F7007"/>
    <w:rsid w:val="51D520D3"/>
    <w:rsid w:val="51EF0C08"/>
    <w:rsid w:val="52117770"/>
    <w:rsid w:val="5213759B"/>
    <w:rsid w:val="529E603A"/>
    <w:rsid w:val="538E1669"/>
    <w:rsid w:val="53BF5B6B"/>
    <w:rsid w:val="53EA70E6"/>
    <w:rsid w:val="53F41312"/>
    <w:rsid w:val="54E857B9"/>
    <w:rsid w:val="557F7060"/>
    <w:rsid w:val="559A0EB5"/>
    <w:rsid w:val="575A75C6"/>
    <w:rsid w:val="576370A9"/>
    <w:rsid w:val="57D1182B"/>
    <w:rsid w:val="582A100F"/>
    <w:rsid w:val="58336DA3"/>
    <w:rsid w:val="58637663"/>
    <w:rsid w:val="58C637B9"/>
    <w:rsid w:val="58E41E17"/>
    <w:rsid w:val="59A510F6"/>
    <w:rsid w:val="59B06944"/>
    <w:rsid w:val="59E65123"/>
    <w:rsid w:val="5ACD7775"/>
    <w:rsid w:val="5AEC378F"/>
    <w:rsid w:val="5B7D4CC6"/>
    <w:rsid w:val="5B8D238C"/>
    <w:rsid w:val="5BA552F7"/>
    <w:rsid w:val="5BA71D08"/>
    <w:rsid w:val="5BCE433A"/>
    <w:rsid w:val="5BFC0E95"/>
    <w:rsid w:val="5C475758"/>
    <w:rsid w:val="5CBC4BE3"/>
    <w:rsid w:val="5D255F52"/>
    <w:rsid w:val="5D257386"/>
    <w:rsid w:val="5D862610"/>
    <w:rsid w:val="5E061C72"/>
    <w:rsid w:val="5E206338"/>
    <w:rsid w:val="5F093BC4"/>
    <w:rsid w:val="5F0B5D4A"/>
    <w:rsid w:val="5F4351F4"/>
    <w:rsid w:val="5F727B97"/>
    <w:rsid w:val="5FAD6CCD"/>
    <w:rsid w:val="60AB11BB"/>
    <w:rsid w:val="62052883"/>
    <w:rsid w:val="625D71A1"/>
    <w:rsid w:val="62897850"/>
    <w:rsid w:val="62DF398D"/>
    <w:rsid w:val="63E358FA"/>
    <w:rsid w:val="642038E0"/>
    <w:rsid w:val="64BE3B45"/>
    <w:rsid w:val="64C25EFB"/>
    <w:rsid w:val="65105CBC"/>
    <w:rsid w:val="653F3EA9"/>
    <w:rsid w:val="6554196B"/>
    <w:rsid w:val="65A85450"/>
    <w:rsid w:val="65C44229"/>
    <w:rsid w:val="65FF0F3F"/>
    <w:rsid w:val="66F95CD9"/>
    <w:rsid w:val="68F8184D"/>
    <w:rsid w:val="69010C08"/>
    <w:rsid w:val="69295E28"/>
    <w:rsid w:val="698D10A7"/>
    <w:rsid w:val="6A2F1202"/>
    <w:rsid w:val="6A3B0F29"/>
    <w:rsid w:val="6A621983"/>
    <w:rsid w:val="6A6B4326"/>
    <w:rsid w:val="6B202AC0"/>
    <w:rsid w:val="6B4A5CF9"/>
    <w:rsid w:val="6D25195B"/>
    <w:rsid w:val="6D2A3EAF"/>
    <w:rsid w:val="6DA2484C"/>
    <w:rsid w:val="6E16208C"/>
    <w:rsid w:val="6E1D4FD1"/>
    <w:rsid w:val="6E20438A"/>
    <w:rsid w:val="6E292E16"/>
    <w:rsid w:val="6E7704BE"/>
    <w:rsid w:val="6E820321"/>
    <w:rsid w:val="6EAB5C7A"/>
    <w:rsid w:val="6EBC5ECB"/>
    <w:rsid w:val="6EE30255"/>
    <w:rsid w:val="6F265009"/>
    <w:rsid w:val="6F96060C"/>
    <w:rsid w:val="707037B4"/>
    <w:rsid w:val="708D36C2"/>
    <w:rsid w:val="71504E77"/>
    <w:rsid w:val="717A537C"/>
    <w:rsid w:val="717C1BDF"/>
    <w:rsid w:val="731D5EFB"/>
    <w:rsid w:val="733614E8"/>
    <w:rsid w:val="73C600DC"/>
    <w:rsid w:val="74455F31"/>
    <w:rsid w:val="74487DD2"/>
    <w:rsid w:val="74766EA8"/>
    <w:rsid w:val="74D737A4"/>
    <w:rsid w:val="74EA4A88"/>
    <w:rsid w:val="75B33217"/>
    <w:rsid w:val="77DD309A"/>
    <w:rsid w:val="780A5FCB"/>
    <w:rsid w:val="78475544"/>
    <w:rsid w:val="78F817D2"/>
    <w:rsid w:val="797262D7"/>
    <w:rsid w:val="798B6F10"/>
    <w:rsid w:val="79E009CA"/>
    <w:rsid w:val="7A5D6E4B"/>
    <w:rsid w:val="7B847FB6"/>
    <w:rsid w:val="7BE51E97"/>
    <w:rsid w:val="7C2B1EB0"/>
    <w:rsid w:val="7C981331"/>
    <w:rsid w:val="7C9D6E25"/>
    <w:rsid w:val="7D6E5806"/>
    <w:rsid w:val="7DD14F92"/>
    <w:rsid w:val="7EDF323E"/>
    <w:rsid w:val="7F103B2F"/>
    <w:rsid w:val="7F9605AA"/>
    <w:rsid w:val="7FB73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semiHidden/>
    <w:qFormat/>
    <w:uiPriority w:val="99"/>
    <w:rPr>
      <w:sz w:val="18"/>
      <w:szCs w:val="18"/>
    </w:rPr>
  </w:style>
  <w:style w:type="character" w:customStyle="1" w:styleId="8">
    <w:name w:val="页脚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1394</Words>
  <Characters>1460</Characters>
  <Lines>8</Lines>
  <Paragraphs>2</Paragraphs>
  <TotalTime>0</TotalTime>
  <ScaleCrop>false</ScaleCrop>
  <LinksUpToDate>false</LinksUpToDate>
  <CharactersWithSpaces>1461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2016-03-09T03:11:00Z</dcterms:created>
  <dc:creator>lenovo</dc:creator>
  <cp:lastModifiedBy>一網一網沒有魚</cp:lastModifiedBy>
  <dcterms:modified xsi:type="dcterms:W3CDTF">2024-04-12T01:42:44Z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64EFD315CADA4EFD846239BFB8064125</vt:lpwstr>
  </property>
</Properties>
</file>